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35861">
      <w:pPr>
        <w:pStyle w:val="9"/>
        <w:ind w:left="284"/>
        <w:jc w:val="center"/>
        <w:rPr>
          <w:rFonts w:ascii="Times New Roman" w:hAnsi="Times New Roman" w:eastAsia="Batang" w:cs="Times New Roman"/>
          <w:b/>
          <w:bCs/>
          <w:sz w:val="24"/>
        </w:rPr>
      </w:pPr>
    </w:p>
    <w:p w14:paraId="36974B1E">
      <w:pPr>
        <w:pStyle w:val="9"/>
        <w:ind w:left="284"/>
        <w:jc w:val="center"/>
        <w:rPr>
          <w:rFonts w:ascii="Times New Roman" w:hAnsi="Times New Roman" w:eastAsia="Batang" w:cs="Times New Roman"/>
          <w:b/>
          <w:bCs/>
          <w:sz w:val="24"/>
        </w:rPr>
      </w:pPr>
    </w:p>
    <w:p w14:paraId="65298681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0519DD15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4C43166A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44BFCBA8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0CF4BC22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23E21E7F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34B8C62E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2F979699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657934C9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75EAEE9D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50D0F6F1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7B9E69C4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074C8BD4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1E9CEECD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0581FD73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66E4E97C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76DE298A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43EC77C3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61BB4B94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694F6180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255C6B8E">
      <w:pPr>
        <w:jc w:val="center"/>
        <w:rPr>
          <w:rFonts w:ascii="Times New Roman" w:hAnsi="Times New Roman" w:cs="Times New Roman"/>
          <w:color w:val="FF0000"/>
          <w:szCs w:val="20"/>
        </w:rPr>
      </w:pPr>
    </w:p>
    <w:p w14:paraId="6596EA52">
      <w:pPr>
        <w:jc w:val="center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</w:p>
    <w:p w14:paraId="69A82D6B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ANEXO- TERMO DE REFERENCIA</w:t>
      </w:r>
    </w:p>
    <w:bookmarkEnd w:id="0"/>
    <w:p w14:paraId="73E355B5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735BF9E9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2A8F54E9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57B92C76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75EB7F15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66774F20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0A235A44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094A9BCD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0E47CAB0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733772CA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313B99B5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56848500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34EF3F72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174AAA9E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ANEXO- ESTIMATIVA DE QUANTIDADE</w:t>
      </w:r>
    </w:p>
    <w:p w14:paraId="26803190">
      <w:pPr>
        <w:jc w:val="both"/>
        <w:rPr>
          <w:rFonts w:ascii="Times New Roman" w:hAnsi="Times New Roman" w:cs="Times New Roman"/>
          <w:color w:val="FF0000"/>
          <w:szCs w:val="20"/>
        </w:rPr>
      </w:pPr>
    </w:p>
    <w:p w14:paraId="7D386151">
      <w:pPr>
        <w:jc w:val="both"/>
        <w:rPr>
          <w:rFonts w:ascii="Times New Roman" w:hAnsi="Times New Roman" w:cs="Times New Roman"/>
          <w:color w:val="FF0000"/>
          <w:szCs w:val="20"/>
        </w:rPr>
      </w:pPr>
    </w:p>
    <w:tbl>
      <w:tblPr>
        <w:tblStyle w:val="4"/>
        <w:tblW w:w="10207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1418"/>
        <w:gridCol w:w="6237"/>
        <w:gridCol w:w="992"/>
        <w:gridCol w:w="851"/>
      </w:tblGrid>
      <w:tr w14:paraId="4FE1A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17" w:hRule="atLeast"/>
        </w:trPr>
        <w:tc>
          <w:tcPr>
            <w:tcW w:w="709" w:type="dxa"/>
            <w:shd w:val="clear" w:color="auto" w:fill="auto"/>
            <w:vAlign w:val="center"/>
          </w:tcPr>
          <w:p w14:paraId="5BD193C0">
            <w:pPr>
              <w:ind w:left="-15"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1E124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CODIGO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6B00C5B">
            <w:pPr>
              <w:tabs>
                <w:tab w:val="left" w:pos="7742"/>
              </w:tabs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D6BB6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DF342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QTD</w:t>
            </w:r>
          </w:p>
        </w:tc>
      </w:tr>
      <w:tr w14:paraId="09279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1FF1B83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34751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9901100161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27CB0C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ACETILCISTEÍNA: 600mg granulado, envelope com 5g.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49759D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D5ECE9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2900</w:t>
            </w:r>
          </w:p>
        </w:tc>
      </w:tr>
      <w:tr w14:paraId="51227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DE819A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C2D96C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9901100163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BFD379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ACICLOVIR: pó para injeção 250 mg frasco-ampola.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4A6EA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E83CB7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</w:t>
            </w:r>
          </w:p>
        </w:tc>
      </w:tr>
      <w:tr w14:paraId="499F4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345251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ACCE3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9901100165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66F7B7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ÁCIDO TRANEXÂMICO: 50MG/ML ampola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DE0E86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83FFB7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7500</w:t>
            </w:r>
          </w:p>
        </w:tc>
      </w:tr>
      <w:tr w14:paraId="06AC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E2D785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6E3C6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9901100166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D1122F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ACIDO VALPROICO: 250MG.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578851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B960E3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65000</w:t>
            </w:r>
          </w:p>
        </w:tc>
      </w:tr>
      <w:tr w14:paraId="503F1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2EA4ABB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5D9AB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9901100168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804967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ÁCIDO VALPRÓICO: 250MG/5ML FRASCO COM 100ML.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30D8AE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995BB4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</w:t>
            </w:r>
          </w:p>
        </w:tc>
      </w:tr>
      <w:tr w14:paraId="06F40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1FB36AD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15A26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9901100169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6031D8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ÁCIDO VALPRÓICO: 500MG.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090D06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E9721A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100000</w:t>
            </w:r>
          </w:p>
        </w:tc>
      </w:tr>
      <w:tr w14:paraId="212CD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AD3538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837C2D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9901100171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E3BCFA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ALBUMINA HUMANA: 20% FRASCO AMPOLA 50ML.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79965F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 AM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2E9DF6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</w:tr>
      <w:tr w14:paraId="742CA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12D978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1B1F3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9901100174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48A310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ALOPURINOL: 100MG.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4882A3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6C87B3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6000</w:t>
            </w:r>
          </w:p>
        </w:tc>
      </w:tr>
      <w:tr w14:paraId="2AC7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6FD077D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93310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9901100175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8CCA7F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ALOPURINOL: 300MG.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E559BE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54BDF7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6000</w:t>
            </w:r>
          </w:p>
        </w:tc>
      </w:tr>
      <w:tr w14:paraId="05DD7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9622F7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6C4AED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9901100177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274658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AMPICILINA SÓDICA: pó para solução injetável 1g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6684D8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A7216B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6300</w:t>
            </w:r>
          </w:p>
        </w:tc>
      </w:tr>
      <w:tr w14:paraId="070D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1BA1B81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2063F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9901100178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3A795C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ANLODIPINO: BESILATO 5MG.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F29E31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4F99D2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1200000</w:t>
            </w:r>
          </w:p>
        </w:tc>
      </w:tr>
      <w:tr w14:paraId="0D8E7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B9E98A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53F49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000.000.34777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5DA691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AZITROMICINA: comprimido revestido ou cápsula 500mg.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6FD9DD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A9C69A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180000</w:t>
            </w:r>
          </w:p>
        </w:tc>
      </w:tr>
      <w:tr w14:paraId="1443E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2DDAB59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74929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9901100181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2528313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BETAMETASONA: dipropionato de 5mg/ml, + betametasona fosfato dissodico 2 mg/mL suspensão injetável 1ml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F5426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9015C7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10900</w:t>
            </w:r>
          </w:p>
        </w:tc>
      </w:tr>
      <w:tr w14:paraId="325F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0B2310F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4E600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9901100182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8C6719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BROMAZEPAM: 3MG.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FF81A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81E6D9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</w:tc>
      </w:tr>
      <w:tr w14:paraId="2D32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02755D0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7DBBA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000.000.34778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19458F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BUPROPIONA: 150MG.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26237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92C8D3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115000</w:t>
            </w:r>
          </w:p>
        </w:tc>
      </w:tr>
      <w:tr w14:paraId="7F7D2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A204A5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3D058A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9900100017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2AE5B3F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CAPTOPRIL: 25MG.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935040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1E7AA4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290760</w:t>
            </w:r>
          </w:p>
        </w:tc>
      </w:tr>
      <w:tr w14:paraId="68EB9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EBBD2C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691531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1,01001E+11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02D618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CARBONATO DE LÍTIO: 300MG.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802B55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AF44AE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156000</w:t>
            </w:r>
          </w:p>
        </w:tc>
      </w:tr>
      <w:tr w14:paraId="6B012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1C1ED7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BEA45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9900100018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7B4C3A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CARVÃO ATIVADO: EMBALAGEM COM 30G.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C3A4B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8936E7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</w:tr>
      <w:tr w14:paraId="33AB7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2746431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88F03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9901100185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97481E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CEFALOTINA: 1g injetável frasco-ampola 10ml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A7D0B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1FF8C0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13800</w:t>
            </w:r>
          </w:p>
        </w:tc>
      </w:tr>
      <w:tr w14:paraId="6A781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5546E1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1136E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9901100187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674637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CEFTRIAXONA SODICA PÓ: para injeção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500mg I.M.+ diluente a 1% de lidocaína, frasco-ampola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A185F0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402CCD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7700</w:t>
            </w:r>
          </w:p>
        </w:tc>
      </w:tr>
      <w:tr w14:paraId="55EC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1CA389B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E7979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9901100189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7AF285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CETOPROFENO: 100mg , frasco-ampola contendo pó liofilizado para solução endovenosa.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5AC4D9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E28FFD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7450</w:t>
            </w:r>
          </w:p>
        </w:tc>
      </w:tr>
      <w:tr w14:paraId="5C60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655D52A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39349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9901100191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5A3C08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CLOMIPRAMINA: 25MG.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61EBB7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40985D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48000</w:t>
            </w:r>
          </w:p>
        </w:tc>
      </w:tr>
      <w:tr w14:paraId="27946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598F3E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7D2AB9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9901100193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80E315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DESLANOSIDEO: sol injetável 0,2 mg/ml, amp 2mL.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3880D9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57DD65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</w:tr>
      <w:tr w14:paraId="62668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032C29D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04EF16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9901100198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F90E34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DEXAMETASONA: 0,1%, CREME 10G.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46AFA5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TB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713EC8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</w:t>
            </w:r>
          </w:p>
        </w:tc>
      </w:tr>
      <w:tr w14:paraId="50C89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1390774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3D0A9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9901100199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8CCA30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DIMENIDRINATO 30 MG + PIRIDOXINA 50 MG + GLICOSE 1000 MG + FRUTOSE: 1000mg ampola de 10ml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D97A27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D40249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</w:tr>
      <w:tr w14:paraId="32FAE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A4D867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2B8CB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9901100201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0C154D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DIMENIDRINATO: associado com piridoxina cloridrato 50MG + 50MG/ML, solução injetável ampola 1ml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3E1981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093D90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</w:tr>
      <w:tr w14:paraId="1124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F2163B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BBB5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9901100209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A4F2AE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ENOXAPARINA: sódica 80mg/0,8ml, solução injetável seringa preenchida subcutânea.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A2EF85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6FA734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</w:tr>
      <w:tr w14:paraId="22F31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C9B8A8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1F290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476ABC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ENOXAPARINA: solução injetável subcutânea, seringa preenchida com 20mg/0,2mL.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A95CF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75F6D5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</w:tr>
      <w:tr w14:paraId="156CC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624B6DE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C4D76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9901100212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487FD4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ESCOPOLAMINA: BUTILBROMETO 10MG Comprimido.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0D7B5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041BFE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108490</w:t>
            </w:r>
          </w:p>
        </w:tc>
      </w:tr>
      <w:tr w14:paraId="2960F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0871D3A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1D17B5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9901100213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2C76ACD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ESPIRONOLACTONA: 25MG.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FD1E9A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2FDB04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37270</w:t>
            </w:r>
          </w:p>
        </w:tc>
      </w:tr>
      <w:tr w14:paraId="23E5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077F898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CB4AE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9901100214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C05FB8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FENITOÍNA: 100mg Comprimido.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C8F41E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EE14A2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96000</w:t>
            </w:r>
          </w:p>
        </w:tc>
      </w:tr>
      <w:tr w14:paraId="4BF41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787F9D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87A87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9901100215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D57638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FENOBARBITAL: 100MG.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C93158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1ACC45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120000</w:t>
            </w:r>
          </w:p>
        </w:tc>
      </w:tr>
      <w:tr w14:paraId="4A91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6D5B85B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24B52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9901100216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A47BCD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FENTANILA: 50MCG/ML + DROPERIDOL 2,5MG/ML ampola 2ML.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D246C2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957061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</w:tr>
      <w:tr w14:paraId="469B8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8A811B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BD879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C0725A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FLUOXETINA: 20MG.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3BB53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2A387C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282250</w:t>
            </w:r>
          </w:p>
        </w:tc>
      </w:tr>
      <w:tr w14:paraId="4A4F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89F460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4F8C4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9901100219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3C68AE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FOSFATO DE SÓDIO (MONOBASICO 0,16g/ml + DIBASICO 0,06g/ml): Enema solução frasco de 130ML, uso adulto, solução retal.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2CB1EB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5668D8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</w:t>
            </w:r>
          </w:p>
        </w:tc>
      </w:tr>
      <w:tr w14:paraId="686A3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FB25F7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04803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9901100220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CB6A13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GUACO: 75MG/ML SUSP ORAL.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542E9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98B849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13500</w:t>
            </w:r>
          </w:p>
        </w:tc>
      </w:tr>
      <w:tr w14:paraId="60D08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DDC13C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EF9D5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9901100221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9733F7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HEPARINA sódica, solução injetável subcutânea 5.000 UI/0,25ml.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5556DB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95E46D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6000</w:t>
            </w:r>
          </w:p>
        </w:tc>
      </w:tr>
      <w:tr w14:paraId="63073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AA3AEC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741B9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9901100222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5529AB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HEPARINA sódica, solução injetável subcutânea 5.000 UI/0,5ml.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D07115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32FFCF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</w:tr>
      <w:tr w14:paraId="0EC5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262DB06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D5BB4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9901100223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F7DAA4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HIDRALAZINA: 20MG/ML AMPOLA 1ML.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2F9E3F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 AM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7AC79B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</w:t>
            </w:r>
          </w:p>
        </w:tc>
      </w:tr>
      <w:tr w14:paraId="1CA76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FB9E1C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178BA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9901100224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756336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IBUPROFENO: 600MG.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FEE22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D3746E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546240</w:t>
            </w:r>
          </w:p>
        </w:tc>
      </w:tr>
      <w:tr w14:paraId="07CF5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D0C912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28942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9901100225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DC95F7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IMIPENEM + CILASTATINA: (500mg+500mg) frasco-ampola.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160E96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DE791C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</w:tr>
      <w:tr w14:paraId="3C03F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774E61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AD0D5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34810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BE50FB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IPRATROPIO: brometo 0,25mg/ml, solução para inalação frasco com 20ml.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D9945F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C1DBDB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2487</w:t>
            </w:r>
          </w:p>
        </w:tc>
      </w:tr>
      <w:tr w14:paraId="4A26A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000EF6C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1EB03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34809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95C4D5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LEVOBUPIVACAINA CLORIDRATO: de 5MG/ML sem vaso constritor solução injetável 20ML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0EB0C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FA1B84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</w:tr>
      <w:tr w14:paraId="0D82A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892BEF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0B4D92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4FB9BA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LEVOBUPIVACAINA: CLORIDRATO DE 5MG/ML com vaso constritor solução injetável + BITARTARATO DE EPINEFRINA 20M.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39085B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A66316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</w:tr>
      <w:tr w14:paraId="5FDDD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68373AD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D8965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34807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50C010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LEVOMEPROMAZINA: 100mg Comprimido.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88FAA8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A8DE02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18000</w:t>
            </w:r>
          </w:p>
        </w:tc>
      </w:tr>
      <w:tr w14:paraId="5B7A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D9068C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80FD72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34806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2BDFCF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LEVOMEPROMAZINA: 25mg Comprimido.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D9E44A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BBBB77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12000</w:t>
            </w:r>
          </w:p>
        </w:tc>
      </w:tr>
      <w:tr w14:paraId="48A4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E1EE77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A37BF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34805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4D8107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LIDOCAINA 2%: BISNAGA 30G GELEIA.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FFBAB1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4DFCC1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3804</w:t>
            </w:r>
          </w:p>
        </w:tc>
      </w:tr>
      <w:tr w14:paraId="6A83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95675D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F359A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34804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6C222A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METARAMINOL: HEMITARTARATO 10MG/ML, SOLUCAO INJ AMPOLA 1ML.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0B8E84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0B352F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</w:tr>
      <w:tr w14:paraId="7D6F5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8EC765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85518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34803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F95AB6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METFORMINA, Comprimido sulcado 850mg.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BDD052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91A9FC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1200000</w:t>
            </w:r>
          </w:p>
        </w:tc>
      </w:tr>
      <w:tr w14:paraId="3CE7C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468551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9423A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34802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B28732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METILDOPA: 250MG.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D7069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925DEF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240000</w:t>
            </w:r>
          </w:p>
        </w:tc>
      </w:tr>
      <w:tr w14:paraId="69F75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23F547F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D5CE9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C63D2E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METILFENIDATO: 10MG.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C9F6D9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B3B389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</w:t>
            </w:r>
          </w:p>
        </w:tc>
      </w:tr>
      <w:tr w14:paraId="3EFE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219D53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15071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34800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5BD664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METILPREDNISOLONA: Solução Injetável 125mg.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E098DB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 AM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F8F13F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3010</w:t>
            </w:r>
          </w:p>
        </w:tc>
      </w:tr>
      <w:tr w14:paraId="597BD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A9B953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B7C46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34799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DF5AAF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METILPREDNISOLONA: Solução Injetável 500mg.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AB69A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 AM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F018C9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</w:t>
            </w:r>
          </w:p>
        </w:tc>
      </w:tr>
      <w:tr w14:paraId="336B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E9CA2C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A1EC4B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34798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96DF23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METOPROLOL: 100MG.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9F19E8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55BF25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21740</w:t>
            </w:r>
          </w:p>
        </w:tc>
      </w:tr>
      <w:tr w14:paraId="07F7B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F6E380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68953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34797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131916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METOPROLOL: tartarato solução injetável 1 mg/ml, ampola 5ml.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A3491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4381E8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</w:tr>
      <w:tr w14:paraId="2E499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542964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8CB2D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34796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EB56B5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MICONAZOL: NITRATO 2%  CREME VAGINAL.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0E30FB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TB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1DFB5A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</w:t>
            </w:r>
          </w:p>
        </w:tc>
      </w:tr>
      <w:tr w14:paraId="4E6D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914B82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E9D4D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34795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797DF3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MORFINA: sulfato de 10mg/mL solução injetável: AMPOLA 1ML.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5A9B3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701783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3700</w:t>
            </w:r>
          </w:p>
        </w:tc>
      </w:tr>
      <w:tr w14:paraId="5CFD2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F55486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5C6FCB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34794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DDAEBC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MORFINA: sulfato de 1mg/ml solução injetável, ampola de 2ML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292FFB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C68D69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</w:tr>
      <w:tr w14:paraId="72DB2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5DFDF9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91878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34793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208768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NALBUFINA: 10MG/ML ampola 1ML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9B8970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9879E9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</w:tr>
      <w:tr w14:paraId="6E0E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B7ACA0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6692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34792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B1CF6D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NITROGLICERINA: 50mg/Ml solução injetável ampola 10mL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136E27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199A2F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</w:tr>
      <w:tr w14:paraId="2FFA8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2FA73CA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CEC94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34791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10C973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NORTRIPTILINA: 25MG.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B12CEF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B9A780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360000</w:t>
            </w:r>
          </w:p>
        </w:tc>
      </w:tr>
      <w:tr w14:paraId="0C5CF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8217D6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D5BC4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9901100217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DA3D48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NORTRIPTILINA: 50MG.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11DA48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93E76B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45000</w:t>
            </w:r>
          </w:p>
        </w:tc>
      </w:tr>
      <w:tr w14:paraId="7D7D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652301B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0588C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000.000.34789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E5DC03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PARACETAMOL: 500MG.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DA4E4F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9F0947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550670</w:t>
            </w:r>
          </w:p>
        </w:tc>
      </w:tr>
      <w:tr w14:paraId="6F598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A1E44E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64734D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4C3799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PETIDINA: 100mg solução injetável, ampola 2ML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A1C935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54E13C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</w:tr>
      <w:tr w14:paraId="24554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59999A9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4CC90A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000.000.34787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6D67C4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POLIMIXINA B: sulfato, 500.000 UI FR AM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D69DA4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0E88C2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1825</w:t>
            </w:r>
          </w:p>
        </w:tc>
      </w:tr>
      <w:tr w14:paraId="10BF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7C1615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0C11E6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000.000.34786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BB730C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PROMETAZINA: 25MG/ML ampola 2ML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DD7FFD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27EAD0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10710</w:t>
            </w:r>
          </w:p>
        </w:tc>
      </w:tr>
      <w:tr w14:paraId="0EAE1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284D707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E09ED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000.000.34785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D3A392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RISPERIDONA: 1MG.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DAF7CF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059C38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132900</w:t>
            </w:r>
          </w:p>
        </w:tc>
      </w:tr>
      <w:tr w14:paraId="2B2A6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81479E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962CB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000.000.34784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203DDCD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RISPERIDONA: 1MG/ML. SOLUÇÃO ORAL FRASCO COM 30ML.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4F049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26F194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</w:t>
            </w:r>
          </w:p>
        </w:tc>
      </w:tr>
      <w:tr w14:paraId="611B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1464666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B99AC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000.000.34783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D733C2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RISPERIDONA: 2MG.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8D6792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6F3C6BB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66480</w:t>
            </w:r>
          </w:p>
        </w:tc>
      </w:tr>
      <w:tr w14:paraId="16981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045B637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03832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000.000.34782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ECB4E7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RISPERIDONA: 3MG.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8E79F6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CE98B7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175070</w:t>
            </w:r>
          </w:p>
        </w:tc>
      </w:tr>
      <w:tr w14:paraId="1AFD7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63C8214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B1180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000.000.34781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7F394B8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SERTRALINA: 50MG.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9D17F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3ACE5E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120000</w:t>
            </w:r>
          </w:p>
        </w:tc>
      </w:tr>
      <w:tr w14:paraId="5E10D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0925841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49D6C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000.000.34780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EC24BE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SEVOFLURANO: frasco com 100ML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E6465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326442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</w:tr>
      <w:tr w14:paraId="3E76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6366D3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09A39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9901100210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59D596F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SIMETICONA: Comprimido 40 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0C998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869D0A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26000</w:t>
            </w:r>
          </w:p>
        </w:tc>
      </w:tr>
      <w:tr w14:paraId="672C5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33CA849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10E13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9901100208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79C0B9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SIMETICONA: solução oral 75mg/mL fr. com 10mL.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74696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4FC894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25780</w:t>
            </w:r>
          </w:p>
        </w:tc>
      </w:tr>
      <w:tr w14:paraId="34C6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2BF72B3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420C1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9901100207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4D694CA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SULFADIAZINA: de prata pasta 1% tubo 50g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716D95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29C647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520</w:t>
            </w:r>
          </w:p>
        </w:tc>
      </w:tr>
      <w:tr w14:paraId="2915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3BC5D8F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20B28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9901100206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16DAD1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TIORIDAZINA: 100 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797746D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85A3E4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18000</w:t>
            </w:r>
          </w:p>
        </w:tc>
      </w:tr>
      <w:tr w14:paraId="01D41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2B591AA5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460039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9901100205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2773F1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TIORIDAZINA: 50MG.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3BBC01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4C482A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36000</w:t>
            </w:r>
          </w:p>
        </w:tc>
      </w:tr>
      <w:tr w14:paraId="430A5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40DD7ABF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BABE3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9901100204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61F2F40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TRAMADOL: 50mg.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5646EB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8F8FCE3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18400</w:t>
            </w:r>
          </w:p>
        </w:tc>
      </w:tr>
      <w:tr w14:paraId="7DE6C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709" w:type="dxa"/>
            <w:shd w:val="clear" w:color="auto" w:fill="auto"/>
            <w:noWrap/>
            <w:vAlign w:val="center"/>
          </w:tcPr>
          <w:p w14:paraId="7F557E42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DD9A25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9.900.100.019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134A61C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TROPICAMIDA: COLIRIO 10MG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BD57237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68B6D24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</w:tbl>
    <w:p w14:paraId="5A9CB4B3">
      <w:pPr>
        <w:jc w:val="both"/>
        <w:rPr>
          <w:rFonts w:ascii="Times New Roman" w:hAnsi="Times New Roman" w:cs="Times New Roman"/>
          <w:color w:val="FF0000"/>
          <w:sz w:val="48"/>
          <w:szCs w:val="48"/>
        </w:rPr>
      </w:pPr>
    </w:p>
    <w:sectPr>
      <w:headerReference r:id="rId5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cofont_Spranq_eco_Sans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D7159">
    <w:pPr>
      <w:pStyle w:val="9"/>
      <w:ind w:left="284"/>
      <w:jc w:val="center"/>
      <w:rPr>
        <w:rFonts w:ascii="Times New Roman" w:hAnsi="Times New Roman" w:eastAsia="Batang" w:cs="Times New Roman"/>
        <w:b/>
        <w:bCs/>
        <w:sz w:val="24"/>
      </w:rPr>
    </w:pPr>
    <w:r>
      <w:rPr>
        <w:rFonts w:ascii="Times New Roman" w:hAnsi="Times New Roman" w:eastAsia="Batang" w:cs="Times New Roman"/>
        <w:b/>
        <w:bCs/>
        <w:sz w:val="24"/>
        <w14:ligatures w14:val="standardContextua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2129790</wp:posOffset>
          </wp:positionH>
          <wp:positionV relativeFrom="paragraph">
            <wp:posOffset>-97155</wp:posOffset>
          </wp:positionV>
          <wp:extent cx="781050" cy="982980"/>
          <wp:effectExtent l="0" t="0" r="0" b="762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738" cy="9890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3B74E25">
    <w:pPr>
      <w:pStyle w:val="9"/>
      <w:ind w:left="284"/>
      <w:jc w:val="center"/>
      <w:rPr>
        <w:rFonts w:ascii="Times New Roman" w:hAnsi="Times New Roman" w:eastAsia="Batang" w:cs="Times New Roman"/>
        <w:b/>
        <w:bCs/>
        <w:sz w:val="24"/>
      </w:rPr>
    </w:pPr>
  </w:p>
  <w:p w14:paraId="5F96B02F">
    <w:pPr>
      <w:pStyle w:val="9"/>
      <w:ind w:left="284"/>
      <w:jc w:val="center"/>
      <w:rPr>
        <w:rFonts w:ascii="Times New Roman" w:hAnsi="Times New Roman" w:eastAsia="Batang" w:cs="Times New Roman"/>
        <w:b/>
        <w:bCs/>
        <w:sz w:val="24"/>
      </w:rPr>
    </w:pPr>
  </w:p>
  <w:p w14:paraId="0772ADC8">
    <w:pPr>
      <w:pStyle w:val="9"/>
      <w:ind w:left="284"/>
      <w:jc w:val="center"/>
      <w:rPr>
        <w:rFonts w:ascii="Times New Roman" w:hAnsi="Times New Roman" w:eastAsia="Batang" w:cs="Times New Roman"/>
        <w:b/>
        <w:bCs/>
        <w:sz w:val="24"/>
      </w:rPr>
    </w:pPr>
  </w:p>
  <w:p w14:paraId="65888490">
    <w:pPr>
      <w:pStyle w:val="9"/>
      <w:rPr>
        <w:rFonts w:ascii="Times New Roman" w:hAnsi="Times New Roman" w:eastAsia="Batang" w:cs="Times New Roman"/>
        <w:b/>
        <w:bCs/>
        <w:sz w:val="24"/>
      </w:rPr>
    </w:pPr>
  </w:p>
  <w:p w14:paraId="08F73C72"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B25F69"/>
    <w:multiLevelType w:val="multilevel"/>
    <w:tmpl w:val="1AB25F6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entative="0">
      <w:start w:val="1"/>
      <w:numFmt w:val="decimal"/>
      <w:lvlText w:val="%1.%2."/>
      <w:lvlJc w:val="left"/>
      <w:pPr>
        <w:ind w:left="858" w:hanging="432"/>
      </w:pPr>
      <w:rPr>
        <w:rFonts w:hint="default" w:ascii="Times New Roman" w:hAnsi="Times New Roman" w:cs="Times New Roman"/>
        <w:b w:val="0"/>
        <w:sz w:val="24"/>
        <w:szCs w:val="24"/>
      </w:rPr>
    </w:lvl>
    <w:lvl w:ilvl="2" w:tentative="0">
      <w:start w:val="1"/>
      <w:numFmt w:val="decimal"/>
      <w:lvlText w:val="%1.%2.%3."/>
      <w:lvlJc w:val="left"/>
      <w:pPr>
        <w:ind w:left="646" w:hanging="504"/>
      </w:pPr>
      <w:rPr>
        <w:rFonts w:hint="default" w:ascii="Times New Roman" w:hAnsi="Times New Roman" w:cs="Times New Roman"/>
        <w:b w:val="0"/>
        <w:sz w:val="24"/>
        <w:szCs w:val="24"/>
      </w:rPr>
    </w:lvl>
    <w:lvl w:ilvl="3" w:tentative="0">
      <w:start w:val="1"/>
      <w:numFmt w:val="decimal"/>
      <w:lvlText w:val="%1.%2.%3."/>
      <w:lvlJc w:val="left"/>
      <w:pPr>
        <w:ind w:left="5043" w:hanging="648"/>
      </w:pPr>
      <w:rPr>
        <w:rFonts w:hint="default" w:ascii="Times New Roman" w:hAnsi="Times New Roman" w:cs="Times New Roman"/>
        <w:b w:val="0"/>
        <w:bCs/>
        <w:sz w:val="24"/>
        <w:szCs w:val="24"/>
      </w:rPr>
    </w:lvl>
    <w:lvl w:ilvl="4" w:tentative="0">
      <w:start w:val="1"/>
      <w:numFmt w:val="decimal"/>
      <w:lvlText w:val="%1.%2.%3.%4."/>
      <w:lvlJc w:val="left"/>
      <w:pPr>
        <w:ind w:left="2919" w:hanging="792"/>
      </w:pPr>
      <w:rPr>
        <w:rFonts w:hint="default"/>
      </w:rPr>
    </w:lvl>
    <w:lvl w:ilvl="5" w:tentative="0">
      <w:start w:val="1"/>
      <w:numFmt w:val="decimal"/>
      <w:lvlText w:val="%1.%2.%3.%4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pStyle w:val="21"/>
      <w:lvlText w:val="%1.%2.%3.%4.%5."/>
      <w:lvlJc w:val="left"/>
      <w:pPr>
        <w:ind w:left="5475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D5C100D"/>
    <w:multiLevelType w:val="multilevel"/>
    <w:tmpl w:val="1D5C100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entative="0">
      <w:start w:val="1"/>
      <w:numFmt w:val="decimal"/>
      <w:pStyle w:val="33"/>
      <w:lvlText w:val="%1.%2."/>
      <w:lvlJc w:val="left"/>
      <w:pPr>
        <w:ind w:left="792" w:hanging="432"/>
      </w:pPr>
      <w:rPr>
        <w:rFonts w:hint="default"/>
        <w:b/>
        <w:bCs w:val="0"/>
        <w:i w:val="0"/>
        <w:strike w:val="0"/>
        <w:color w:val="auto"/>
        <w:sz w:val="24"/>
        <w:szCs w:val="24"/>
      </w:rPr>
    </w:lvl>
    <w:lvl w:ilvl="2" w:tentative="0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8C70088"/>
    <w:multiLevelType w:val="multilevel"/>
    <w:tmpl w:val="58C70088"/>
    <w:lvl w:ilvl="0" w:tentative="0">
      <w:start w:val="1"/>
      <w:numFmt w:val="decimal"/>
      <w:pStyle w:val="23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 w:tentative="0">
      <w:start w:val="1"/>
      <w:numFmt w:val="decimal"/>
      <w:pStyle w:val="22"/>
      <w:lvlText w:val="%1.%2."/>
      <w:lvlJc w:val="left"/>
      <w:pPr>
        <w:ind w:left="858" w:hanging="432"/>
      </w:pPr>
      <w:rPr>
        <w:b w:val="0"/>
        <w:strike w:val="0"/>
      </w:rPr>
    </w:lvl>
    <w:lvl w:ilvl="2" w:tentative="0">
      <w:start w:val="1"/>
      <w:numFmt w:val="decimal"/>
      <w:pStyle w:val="24"/>
      <w:lvlText w:val="%1.%2.%3."/>
      <w:lvlJc w:val="left"/>
      <w:pPr>
        <w:ind w:left="1224" w:hanging="504"/>
      </w:pPr>
      <w:rPr>
        <w:i w:val="0"/>
        <w:strike w:val="0"/>
      </w:rPr>
    </w:lvl>
    <w:lvl w:ilvl="3" w:tentative="0">
      <w:start w:val="1"/>
      <w:numFmt w:val="decimal"/>
      <w:pStyle w:val="25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26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3E9"/>
    <w:rsid w:val="00086EEB"/>
    <w:rsid w:val="000C33F6"/>
    <w:rsid w:val="00133291"/>
    <w:rsid w:val="001420B7"/>
    <w:rsid w:val="001460DF"/>
    <w:rsid w:val="0017228E"/>
    <w:rsid w:val="00185F61"/>
    <w:rsid w:val="00192CA9"/>
    <w:rsid w:val="00194E17"/>
    <w:rsid w:val="001B5E0D"/>
    <w:rsid w:val="001F6ED3"/>
    <w:rsid w:val="00203719"/>
    <w:rsid w:val="00255A2B"/>
    <w:rsid w:val="00266F2C"/>
    <w:rsid w:val="002C2F37"/>
    <w:rsid w:val="002E3380"/>
    <w:rsid w:val="00305A09"/>
    <w:rsid w:val="003566A4"/>
    <w:rsid w:val="0036610E"/>
    <w:rsid w:val="003669D5"/>
    <w:rsid w:val="00373092"/>
    <w:rsid w:val="003D4988"/>
    <w:rsid w:val="00406519"/>
    <w:rsid w:val="00426D51"/>
    <w:rsid w:val="00443D26"/>
    <w:rsid w:val="0044708C"/>
    <w:rsid w:val="00464C06"/>
    <w:rsid w:val="00465DDF"/>
    <w:rsid w:val="004A2069"/>
    <w:rsid w:val="004A6A26"/>
    <w:rsid w:val="004D03EE"/>
    <w:rsid w:val="004D7C9A"/>
    <w:rsid w:val="004E34F8"/>
    <w:rsid w:val="004F3794"/>
    <w:rsid w:val="0052079A"/>
    <w:rsid w:val="00530163"/>
    <w:rsid w:val="00535267"/>
    <w:rsid w:val="005374B0"/>
    <w:rsid w:val="0058014B"/>
    <w:rsid w:val="005D43E9"/>
    <w:rsid w:val="005E4233"/>
    <w:rsid w:val="005F559D"/>
    <w:rsid w:val="0061057C"/>
    <w:rsid w:val="00621F74"/>
    <w:rsid w:val="00626139"/>
    <w:rsid w:val="00672811"/>
    <w:rsid w:val="006C5E15"/>
    <w:rsid w:val="006D45BF"/>
    <w:rsid w:val="00726F90"/>
    <w:rsid w:val="00737590"/>
    <w:rsid w:val="0074202B"/>
    <w:rsid w:val="00755A47"/>
    <w:rsid w:val="00764921"/>
    <w:rsid w:val="007F05A1"/>
    <w:rsid w:val="008129FF"/>
    <w:rsid w:val="0081326F"/>
    <w:rsid w:val="00831E05"/>
    <w:rsid w:val="00876626"/>
    <w:rsid w:val="00877D4B"/>
    <w:rsid w:val="00883EC0"/>
    <w:rsid w:val="008E12C8"/>
    <w:rsid w:val="00924C21"/>
    <w:rsid w:val="00945A73"/>
    <w:rsid w:val="009936E4"/>
    <w:rsid w:val="00994BCB"/>
    <w:rsid w:val="009951A1"/>
    <w:rsid w:val="009B3363"/>
    <w:rsid w:val="009E1EDD"/>
    <w:rsid w:val="009E4FC7"/>
    <w:rsid w:val="009F3506"/>
    <w:rsid w:val="00A23EFD"/>
    <w:rsid w:val="00A52763"/>
    <w:rsid w:val="00A63467"/>
    <w:rsid w:val="00AA3402"/>
    <w:rsid w:val="00AB3A99"/>
    <w:rsid w:val="00AC2094"/>
    <w:rsid w:val="00AC6D9F"/>
    <w:rsid w:val="00AD1E5D"/>
    <w:rsid w:val="00AF504B"/>
    <w:rsid w:val="00AF5643"/>
    <w:rsid w:val="00B008BC"/>
    <w:rsid w:val="00B03857"/>
    <w:rsid w:val="00B369F4"/>
    <w:rsid w:val="00B44DDA"/>
    <w:rsid w:val="00B86939"/>
    <w:rsid w:val="00BF3D85"/>
    <w:rsid w:val="00BF523C"/>
    <w:rsid w:val="00BF52AD"/>
    <w:rsid w:val="00C14B81"/>
    <w:rsid w:val="00C31C7D"/>
    <w:rsid w:val="00C34A2A"/>
    <w:rsid w:val="00C55BF7"/>
    <w:rsid w:val="00C936D9"/>
    <w:rsid w:val="00CE4F6A"/>
    <w:rsid w:val="00D0111E"/>
    <w:rsid w:val="00D5703E"/>
    <w:rsid w:val="00D84EA6"/>
    <w:rsid w:val="00DA7A59"/>
    <w:rsid w:val="00DD21A0"/>
    <w:rsid w:val="00DD2A9B"/>
    <w:rsid w:val="00E051E8"/>
    <w:rsid w:val="00E203DE"/>
    <w:rsid w:val="00EA51A1"/>
    <w:rsid w:val="00ED3627"/>
    <w:rsid w:val="00ED6CCE"/>
    <w:rsid w:val="00EE4416"/>
    <w:rsid w:val="00EF4E1C"/>
    <w:rsid w:val="00F160FC"/>
    <w:rsid w:val="00F17F21"/>
    <w:rsid w:val="00F80463"/>
    <w:rsid w:val="00FC04EA"/>
    <w:rsid w:val="00FC43C0"/>
    <w:rsid w:val="00FC5D42"/>
    <w:rsid w:val="00FD2354"/>
    <w:rsid w:val="00FE070F"/>
    <w:rsid w:val="00FE5B1A"/>
    <w:rsid w:val="00FF5CC0"/>
    <w:rsid w:val="1406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0" w:semiHidden="0" w:name="footnote text"/>
    <w:lsdException w:uiPriority="99" w:semiHidden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Arial" w:hAnsi="Arial" w:eastAsia="Times New Roman" w:cs="Tahoma"/>
      <w:kern w:val="0"/>
      <w:sz w:val="20"/>
      <w:szCs w:val="24"/>
      <w:lang w:val="pt-BR" w:eastAsia="pt-BR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basedOn w:val="3"/>
    <w:unhideWhenUsed/>
    <w:uiPriority w:val="0"/>
    <w:rPr>
      <w:sz w:val="16"/>
      <w:szCs w:val="16"/>
    </w:rPr>
  </w:style>
  <w:style w:type="character" w:styleId="6">
    <w:name w:val="Hyperlink"/>
    <w:uiPriority w:val="0"/>
    <w:rPr>
      <w:color w:val="000080"/>
      <w:u w:val="single"/>
    </w:rPr>
  </w:style>
  <w:style w:type="paragraph" w:styleId="7">
    <w:name w:val="annotation text"/>
    <w:basedOn w:val="1"/>
    <w:link w:val="20"/>
    <w:unhideWhenUsed/>
    <w:uiPriority w:val="99"/>
    <w:rPr>
      <w:szCs w:val="20"/>
    </w:rPr>
  </w:style>
  <w:style w:type="paragraph" w:styleId="8">
    <w:name w:val="Normal (Web)"/>
    <w:basedOn w:val="1"/>
    <w:unhideWhenUsed/>
    <w:uiPriority w:val="9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9">
    <w:name w:val="header"/>
    <w:basedOn w:val="1"/>
    <w:link w:val="14"/>
    <w:unhideWhenUsed/>
    <w:uiPriority w:val="0"/>
    <w:pPr>
      <w:tabs>
        <w:tab w:val="center" w:pos="4252"/>
        <w:tab w:val="right" w:pos="8504"/>
      </w:tabs>
    </w:pPr>
  </w:style>
  <w:style w:type="paragraph" w:styleId="10">
    <w:name w:val="annotation subject"/>
    <w:basedOn w:val="7"/>
    <w:next w:val="7"/>
    <w:link w:val="29"/>
    <w:semiHidden/>
    <w:unhideWhenUsed/>
    <w:uiPriority w:val="99"/>
    <w:rPr>
      <w:b/>
      <w:bCs/>
    </w:rPr>
  </w:style>
  <w:style w:type="paragraph" w:styleId="11">
    <w:name w:val="footer"/>
    <w:basedOn w:val="1"/>
    <w:link w:val="15"/>
    <w:unhideWhenUsed/>
    <w:uiPriority w:val="99"/>
    <w:pPr>
      <w:tabs>
        <w:tab w:val="center" w:pos="4252"/>
        <w:tab w:val="right" w:pos="8504"/>
      </w:tabs>
    </w:pPr>
  </w:style>
  <w:style w:type="paragraph" w:styleId="12">
    <w:name w:val="footnote text"/>
    <w:basedOn w:val="1"/>
    <w:link w:val="28"/>
    <w:unhideWhenUsed/>
    <w:uiPriority w:val="0"/>
    <w:rPr>
      <w:szCs w:val="20"/>
    </w:rPr>
  </w:style>
  <w:style w:type="table" w:styleId="13">
    <w:name w:val="Table Grid"/>
    <w:basedOn w:val="4"/>
    <w:uiPriority w:val="59"/>
    <w:pPr>
      <w:spacing w:after="0" w:line="240" w:lineRule="auto"/>
    </w:pPr>
    <w:rPr>
      <w:rFonts w:ascii="Arial" w:hAnsi="Arial"/>
      <w:kern w:val="0"/>
      <w:sz w:val="24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Cabeçalho Char"/>
    <w:basedOn w:val="3"/>
    <w:link w:val="9"/>
    <w:uiPriority w:val="0"/>
  </w:style>
  <w:style w:type="character" w:customStyle="1" w:styleId="15">
    <w:name w:val="Rodapé Char"/>
    <w:basedOn w:val="3"/>
    <w:link w:val="11"/>
    <w:uiPriority w:val="99"/>
  </w:style>
  <w:style w:type="paragraph" w:customStyle="1" w:styleId="16">
    <w:name w:val="Nivel1"/>
    <w:basedOn w:val="2"/>
    <w:next w:val="1"/>
    <w:link w:val="17"/>
    <w:qFormat/>
    <w:uiPriority w:val="0"/>
    <w:p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17">
    <w:name w:val="Nivel1 Char"/>
    <w:basedOn w:val="18"/>
    <w:link w:val="16"/>
    <w:uiPriority w:val="0"/>
    <w:rPr>
      <w:rFonts w:ascii="Arial" w:hAnsi="Arial" w:cs="Arial" w:eastAsiaTheme="majorEastAsia"/>
      <w:b/>
      <w:color w:val="000000"/>
      <w:kern w:val="0"/>
      <w:sz w:val="20"/>
      <w:szCs w:val="20"/>
      <w:lang w:eastAsia="pt-BR"/>
      <w14:ligatures w14:val="none"/>
    </w:rPr>
  </w:style>
  <w:style w:type="character" w:customStyle="1" w:styleId="18">
    <w:name w:val="Título 1 Char"/>
    <w:basedOn w:val="3"/>
    <w:link w:val="2"/>
    <w:uiPriority w:val="9"/>
    <w:rPr>
      <w:rFonts w:asciiTheme="majorHAnsi" w:hAnsiTheme="majorHAnsi" w:eastAsiaTheme="majorEastAsia" w:cstheme="majorBidi"/>
      <w:color w:val="2F5597" w:themeColor="accent1" w:themeShade="BF"/>
      <w:kern w:val="0"/>
      <w:sz w:val="32"/>
      <w:szCs w:val="32"/>
      <w:lang w:eastAsia="pt-BR"/>
      <w14:ligatures w14:val="none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Texto de comentário Char"/>
    <w:basedOn w:val="3"/>
    <w:link w:val="7"/>
    <w:qFormat/>
    <w:uiPriority w:val="99"/>
    <w:rPr>
      <w:rFonts w:ascii="Arial" w:hAnsi="Arial" w:eastAsia="Times New Roman" w:cs="Tahoma"/>
      <w:kern w:val="0"/>
      <w:sz w:val="20"/>
      <w:szCs w:val="20"/>
      <w:lang w:eastAsia="pt-BR"/>
      <w14:ligatures w14:val="none"/>
    </w:rPr>
  </w:style>
  <w:style w:type="paragraph" w:customStyle="1" w:styleId="21">
    <w:name w:val="Nível 3-R"/>
    <w:basedOn w:val="1"/>
    <w:link w:val="30"/>
    <w:autoRedefine/>
    <w:qFormat/>
    <w:uiPriority w:val="0"/>
    <w:pPr>
      <w:widowControl w:val="0"/>
      <w:numPr>
        <w:ilvl w:val="6"/>
        <w:numId w:val="1"/>
      </w:numPr>
      <w:spacing w:before="120" w:after="120" w:line="276" w:lineRule="auto"/>
      <w:jc w:val="both"/>
    </w:pPr>
    <w:rPr>
      <w:rFonts w:ascii="Times New Roman" w:hAnsi="Times New Roman" w:cs="Times New Roman" w:eastAsiaTheme="minorEastAsia"/>
      <w:color w:val="FF0000"/>
      <w:sz w:val="24"/>
    </w:rPr>
  </w:style>
  <w:style w:type="paragraph" w:customStyle="1" w:styleId="22">
    <w:name w:val="Nivel 2"/>
    <w:link w:val="27"/>
    <w:qFormat/>
    <w:uiPriority w:val="0"/>
    <w:pPr>
      <w:numPr>
        <w:ilvl w:val="1"/>
        <w:numId w:val="2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kern w:val="0"/>
      <w:sz w:val="20"/>
      <w:szCs w:val="20"/>
      <w:lang w:val="pt-BR" w:eastAsia="pt-BR" w:bidi="ar-SA"/>
      <w14:ligatures w14:val="none"/>
    </w:rPr>
  </w:style>
  <w:style w:type="paragraph" w:customStyle="1" w:styleId="23">
    <w:name w:val="Nivel 1"/>
    <w:basedOn w:val="22"/>
    <w:next w:val="22"/>
    <w:qFormat/>
    <w:uiPriority w:val="0"/>
    <w:pPr>
      <w:numPr>
        <w:ilvl w:val="0"/>
      </w:numPr>
      <w:tabs>
        <w:tab w:val="left" w:pos="360"/>
      </w:tabs>
      <w:ind w:left="644" w:hanging="432"/>
    </w:pPr>
    <w:rPr>
      <w:rFonts w:cs="Arial"/>
      <w:b/>
    </w:rPr>
  </w:style>
  <w:style w:type="paragraph" w:customStyle="1" w:styleId="24">
    <w:name w:val="Nivel 3"/>
    <w:basedOn w:val="22"/>
    <w:qFormat/>
    <w:uiPriority w:val="0"/>
    <w:pPr>
      <w:numPr>
        <w:ilvl w:val="2"/>
      </w:numPr>
      <w:tabs>
        <w:tab w:val="left" w:pos="360"/>
      </w:tabs>
      <w:ind w:left="1922" w:hanging="720"/>
    </w:pPr>
    <w:rPr>
      <w:rFonts w:cs="Arial"/>
      <w:color w:val="000000"/>
    </w:rPr>
  </w:style>
  <w:style w:type="paragraph" w:customStyle="1" w:styleId="25">
    <w:name w:val="Nivel 4"/>
    <w:basedOn w:val="24"/>
    <w:qFormat/>
    <w:uiPriority w:val="0"/>
    <w:pPr>
      <w:numPr>
        <w:ilvl w:val="3"/>
      </w:numPr>
      <w:ind w:left="2491" w:hanging="720"/>
    </w:pPr>
    <w:rPr>
      <w:color w:val="auto"/>
    </w:rPr>
  </w:style>
  <w:style w:type="paragraph" w:customStyle="1" w:styleId="26">
    <w:name w:val="Nivel 5"/>
    <w:basedOn w:val="25"/>
    <w:qFormat/>
    <w:uiPriority w:val="0"/>
    <w:pPr>
      <w:numPr>
        <w:ilvl w:val="4"/>
      </w:numPr>
      <w:ind w:left="3485" w:hanging="1080"/>
    </w:pPr>
  </w:style>
  <w:style w:type="character" w:customStyle="1" w:styleId="27">
    <w:name w:val="Nivel 2 Char"/>
    <w:basedOn w:val="3"/>
    <w:link w:val="22"/>
    <w:uiPriority w:val="0"/>
    <w:rPr>
      <w:rFonts w:ascii="Ecofont_Spranq_eco_Sans" w:hAnsi="Ecofont_Spranq_eco_Sans" w:eastAsia="Arial Unicode MS" w:cs="Times New Roman"/>
      <w:kern w:val="0"/>
      <w:sz w:val="20"/>
      <w:szCs w:val="20"/>
      <w:lang w:eastAsia="pt-BR"/>
      <w14:ligatures w14:val="none"/>
    </w:rPr>
  </w:style>
  <w:style w:type="character" w:customStyle="1" w:styleId="28">
    <w:name w:val="Texto de nota de rodapé Char"/>
    <w:basedOn w:val="3"/>
    <w:link w:val="12"/>
    <w:uiPriority w:val="0"/>
    <w:rPr>
      <w:rFonts w:ascii="Arial" w:hAnsi="Arial" w:eastAsia="Times New Roman" w:cs="Tahoma"/>
      <w:kern w:val="0"/>
      <w:sz w:val="20"/>
      <w:szCs w:val="20"/>
      <w:lang w:eastAsia="pt-BR"/>
      <w14:ligatures w14:val="none"/>
    </w:rPr>
  </w:style>
  <w:style w:type="character" w:customStyle="1" w:styleId="29">
    <w:name w:val="Assunto do comentário Char"/>
    <w:basedOn w:val="20"/>
    <w:link w:val="10"/>
    <w:semiHidden/>
    <w:uiPriority w:val="99"/>
    <w:rPr>
      <w:rFonts w:ascii="Arial" w:hAnsi="Arial" w:eastAsia="Times New Roman" w:cs="Tahoma"/>
      <w:b/>
      <w:bCs/>
      <w:kern w:val="0"/>
      <w:sz w:val="20"/>
      <w:szCs w:val="20"/>
      <w:lang w:eastAsia="pt-BR"/>
      <w14:ligatures w14:val="none"/>
    </w:rPr>
  </w:style>
  <w:style w:type="character" w:customStyle="1" w:styleId="30">
    <w:name w:val="Nível 3-R Char"/>
    <w:basedOn w:val="3"/>
    <w:link w:val="21"/>
    <w:uiPriority w:val="0"/>
    <w:rPr>
      <w:rFonts w:ascii="Times New Roman" w:hAnsi="Times New Roman" w:cs="Times New Roman" w:eastAsiaTheme="minorEastAsia"/>
      <w:color w:val="FF0000"/>
      <w:kern w:val="0"/>
      <w:sz w:val="24"/>
      <w:szCs w:val="24"/>
      <w:lang w:eastAsia="pt-BR"/>
      <w14:ligatures w14:val="none"/>
    </w:rPr>
  </w:style>
  <w:style w:type="paragraph" w:customStyle="1" w:styleId="31">
    <w:name w:val="ou"/>
    <w:basedOn w:val="19"/>
    <w:link w:val="32"/>
    <w:qFormat/>
    <w:uiPriority w:val="0"/>
    <w:pPr>
      <w:spacing w:before="60" w:after="60" w:line="259" w:lineRule="auto"/>
      <w:ind w:left="0"/>
      <w:contextualSpacing w:val="0"/>
      <w:jc w:val="center"/>
    </w:pPr>
    <w:rPr>
      <w:rFonts w:cs="Arial" w:eastAsiaTheme="minorHAnsi"/>
      <w:b/>
      <w:bCs/>
      <w:i/>
      <w:iCs/>
      <w:color w:val="FF0000"/>
      <w:u w:val="single"/>
    </w:rPr>
  </w:style>
  <w:style w:type="character" w:customStyle="1" w:styleId="32">
    <w:name w:val="ou Char"/>
    <w:basedOn w:val="3"/>
    <w:link w:val="31"/>
    <w:uiPriority w:val="0"/>
    <w:rPr>
      <w:rFonts w:ascii="Arial" w:hAnsi="Arial" w:cs="Arial"/>
      <w:b/>
      <w:bCs/>
      <w:i/>
      <w:iCs/>
      <w:color w:val="FF0000"/>
      <w:kern w:val="0"/>
      <w:sz w:val="20"/>
      <w:szCs w:val="24"/>
      <w:u w:val="single"/>
      <w:lang w:eastAsia="pt-BR"/>
      <w14:ligatures w14:val="none"/>
    </w:rPr>
  </w:style>
  <w:style w:type="paragraph" w:customStyle="1" w:styleId="33">
    <w:name w:val="Nível 2 -Red"/>
    <w:basedOn w:val="22"/>
    <w:link w:val="34"/>
    <w:qFormat/>
    <w:uiPriority w:val="0"/>
    <w:pPr>
      <w:numPr>
        <w:numId w:val="3"/>
      </w:numPr>
      <w:ind w:left="0" w:firstLine="0"/>
    </w:pPr>
    <w:rPr>
      <w:rFonts w:ascii="Arial" w:hAnsi="Arial" w:eastAsia="Arial" w:cs="Arial"/>
      <w:i/>
      <w:iCs/>
      <w:color w:val="FF0000"/>
    </w:rPr>
  </w:style>
  <w:style w:type="character" w:customStyle="1" w:styleId="34">
    <w:name w:val="Nível 2 -Red Char"/>
    <w:basedOn w:val="3"/>
    <w:link w:val="33"/>
    <w:uiPriority w:val="0"/>
    <w:rPr>
      <w:rFonts w:ascii="Arial" w:hAnsi="Arial" w:eastAsia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35">
    <w:name w:val="Revision"/>
    <w:hidden/>
    <w:semiHidden/>
    <w:uiPriority w:val="99"/>
    <w:pPr>
      <w:spacing w:after="0" w:line="240" w:lineRule="auto"/>
    </w:pPr>
    <w:rPr>
      <w:rFonts w:ascii="Arial" w:hAnsi="Arial" w:eastAsia="Times New Roman" w:cs="Tahoma"/>
      <w:kern w:val="0"/>
      <w:sz w:val="20"/>
      <w:szCs w:val="24"/>
      <w:lang w:val="pt-BR" w:eastAsia="pt-BR" w:bidi="ar-SA"/>
      <w14:ligatures w14:val="none"/>
    </w:rPr>
  </w:style>
  <w:style w:type="paragraph" w:customStyle="1" w:styleId="36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kern w:val="0"/>
      <w:sz w:val="24"/>
      <w:szCs w:val="24"/>
      <w:lang w:val="pt-BR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1EC78-429C-41C1-8D68-2CA5A5FCB7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830</Words>
  <Characters>4486</Characters>
  <Lines>37</Lines>
  <Paragraphs>10</Paragraphs>
  <TotalTime>6</TotalTime>
  <ScaleCrop>false</ScaleCrop>
  <LinksUpToDate>false</LinksUpToDate>
  <CharactersWithSpaces>5306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2025-04-03T12:37:00Z</dcterms:created>
  <dc:creator>Arnaldo Santos</dc:creator>
  <cp:lastModifiedBy>darllyson.henrique</cp:lastModifiedBy>
  <cp:lastPrinted>2025-04-15T12:24:00Z</cp:lastPrinted>
  <dcterms:modified xsi:type="dcterms:W3CDTF">2025-04-16T15:26:14Z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1046-12.2.0.20795</vt:lpwstr>
  </property>
  <property fmtid="{D5CDD505-2E9C-101B-9397-08002B2CF9AE}" pid="3" name="ICV">
    <vt:lpwstr>981A1DBE210F40AEBD6402084554CE33_13</vt:lpwstr>
  </property>
</Properties>
</file>